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附件一：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2020年南充顺城盐化人力资源招聘计划</w:t>
      </w:r>
    </w:p>
    <w:p/>
    <w:p>
      <w:pPr>
        <w:pStyle w:val="4"/>
        <w:spacing w:before="0" w:beforeAutospacing="0" w:after="0" w:afterAutospacing="0" w:line="480" w:lineRule="atLeast"/>
        <w:ind w:firstLine="630" w:firstLineChars="21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根据公司发展需要，结合目前公司各岗位人员年龄结构、文化结构、技能结构，四川南充顺城盐化有限责任公司现拟招聘以下职位。</w:t>
      </w:r>
    </w:p>
    <w:p>
      <w:pPr>
        <w:pStyle w:val="4"/>
        <w:spacing w:before="0" w:beforeAutospacing="0" w:after="0" w:afterAutospacing="0" w:line="0" w:lineRule="atLeast"/>
        <w:ind w:firstLine="482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418"/>
        <w:gridCol w:w="1134"/>
        <w:gridCol w:w="1275"/>
        <w:gridCol w:w="1134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招聘职位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年龄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要求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要求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0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＜35周岁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能适应生产四班三运转工作作息时间。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持有相关职业资格优先。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管理岗位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暂不限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＜35周岁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分析化学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化工工艺与机械设备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电气工程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热能与动力工程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井矿地质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自动控制及测量仪表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＜35周岁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具有较好的语言文字表达能力，有企业管理工作经历者优先。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财务管理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＜35周岁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全日制本科</w:t>
            </w:r>
          </w:p>
        </w:tc>
        <w:tc>
          <w:tcPr>
            <w:tcW w:w="264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财务专业毕业；会计师职称;有相关工作经历者优先。</w:t>
            </w:r>
          </w:p>
        </w:tc>
      </w:tr>
    </w:tbl>
    <w:p/>
    <w:p/>
    <w:p/>
    <w:p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求 职 登 记 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       填表时间：     年  月  日</w:t>
      </w:r>
    </w:p>
    <w:tbl>
      <w:tblPr>
        <w:tblStyle w:val="2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2"/>
        <w:gridCol w:w="1135"/>
        <w:gridCol w:w="424"/>
        <w:gridCol w:w="212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男（ ）女（ ）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户口性质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非农业户口（ 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农业户口（ 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毕业年度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联系电话及电子邮箱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取得何种职业资格证书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个人简历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3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与本公司职工有直系血亲关系、三代</w:t>
            </w:r>
          </w:p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以内旁系血亲或近姻亲关系的请注明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仿宋_GB2312" w:hAnsi="Regular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C338C"/>
    <w:rsid w:val="387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-h2-ms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2020-05-20T01:30:00Z</dcterms:created>
  <dc:creator>杨沂帆</dc:creator>
  <cp:lastModifiedBy>杨沂帆</cp:lastModifiedBy>
  <dcterms:modified xsi:type="dcterms:W3CDTF">2020-05-20T01:30:40Z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